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6A958" w14:textId="791C76FA" w:rsidR="00CD5434" w:rsidRPr="00D54E0D" w:rsidRDefault="0066338F" w:rsidP="006339C5">
      <w:pPr>
        <w:ind w:left="7920"/>
        <w:rPr>
          <w:rFonts w:asciiTheme="minorHAnsi" w:hAnsiTheme="minorHAnsi" w:cstheme="minorHAnsi"/>
          <w:b/>
          <w:bCs/>
          <w:color w:val="FF0000"/>
        </w:rPr>
      </w:pPr>
      <w:r w:rsidRPr="00D54E0D">
        <w:rPr>
          <w:rFonts w:asciiTheme="minorHAnsi" w:hAnsiTheme="minorHAnsi" w:cstheme="minorHAnsi"/>
        </w:rPr>
        <w:t>ACCT 4950</w:t>
      </w:r>
      <w:r w:rsidR="008C5E2A" w:rsidRPr="00D54E0D">
        <w:rPr>
          <w:rFonts w:asciiTheme="minorHAnsi" w:hAnsiTheme="minorHAnsi" w:cstheme="minorHAnsi"/>
        </w:rPr>
        <w:tab/>
        <w:t xml:space="preserve">     </w:t>
      </w:r>
    </w:p>
    <w:p w14:paraId="7974BAF4" w14:textId="456B4340" w:rsidR="0066338F" w:rsidRPr="00D54E0D" w:rsidRDefault="0066338F" w:rsidP="006339C5">
      <w:pPr>
        <w:ind w:left="7200" w:firstLine="720"/>
        <w:rPr>
          <w:rFonts w:asciiTheme="minorHAnsi" w:hAnsiTheme="minorHAnsi" w:cstheme="minorHAnsi"/>
        </w:rPr>
      </w:pPr>
      <w:r w:rsidRPr="00D54E0D">
        <w:rPr>
          <w:rFonts w:asciiTheme="minorHAnsi" w:hAnsiTheme="minorHAnsi" w:cstheme="minorHAnsi"/>
        </w:rPr>
        <w:t>Group #</w:t>
      </w:r>
      <w:r w:rsidR="006339C5" w:rsidRPr="00D54E0D">
        <w:rPr>
          <w:rFonts w:asciiTheme="minorHAnsi" w:hAnsiTheme="minorHAnsi" w:cstheme="minorHAnsi"/>
        </w:rPr>
        <w:t xml:space="preserve"> ____</w:t>
      </w:r>
    </w:p>
    <w:p w14:paraId="34B25EED" w14:textId="78E09B77" w:rsidR="0066338F" w:rsidRPr="00D54E0D" w:rsidRDefault="006339C5">
      <w:pPr>
        <w:rPr>
          <w:rFonts w:asciiTheme="minorHAnsi" w:hAnsiTheme="minorHAnsi" w:cstheme="minorHAnsi"/>
        </w:rPr>
      </w:pP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r>
      <w:r w:rsidRPr="00D54E0D">
        <w:rPr>
          <w:rFonts w:asciiTheme="minorHAnsi" w:hAnsiTheme="minorHAnsi" w:cstheme="minorHAnsi"/>
        </w:rPr>
        <w:tab/>
        <w:t>Name:</w:t>
      </w:r>
    </w:p>
    <w:p w14:paraId="779A4153" w14:textId="77777777" w:rsidR="006339C5" w:rsidRPr="00D54E0D" w:rsidRDefault="006339C5" w:rsidP="006339C5">
      <w:pPr>
        <w:jc w:val="center"/>
        <w:rPr>
          <w:rFonts w:asciiTheme="minorHAnsi" w:hAnsiTheme="minorHAnsi" w:cstheme="minorHAnsi"/>
          <w:b/>
          <w:bCs/>
        </w:rPr>
      </w:pPr>
    </w:p>
    <w:p w14:paraId="5B6F9AF2" w14:textId="70729A66" w:rsidR="0066338F" w:rsidRPr="00D54E0D" w:rsidRDefault="0066338F" w:rsidP="006339C5">
      <w:pPr>
        <w:jc w:val="center"/>
        <w:rPr>
          <w:rFonts w:asciiTheme="minorHAnsi" w:hAnsiTheme="minorHAnsi" w:cstheme="minorHAnsi"/>
          <w:b/>
          <w:bCs/>
        </w:rPr>
      </w:pPr>
      <w:r w:rsidRPr="00D54E0D">
        <w:rPr>
          <w:rFonts w:asciiTheme="minorHAnsi" w:hAnsiTheme="minorHAnsi" w:cstheme="minorHAnsi"/>
          <w:b/>
          <w:bCs/>
        </w:rPr>
        <w:t>Case #1: Cash is King</w:t>
      </w:r>
    </w:p>
    <w:p w14:paraId="250B622B" w14:textId="77777777" w:rsidR="00800273" w:rsidRDefault="00800273">
      <w:pPr>
        <w:rPr>
          <w:rFonts w:asciiTheme="minorHAnsi" w:hAnsiTheme="minorHAnsi" w:cstheme="minorHAnsi"/>
          <w:color w:val="000000" w:themeColor="text1"/>
        </w:rPr>
      </w:pPr>
    </w:p>
    <w:p w14:paraId="6972D2B3" w14:textId="77777777" w:rsidR="00800273" w:rsidRDefault="00800273">
      <w:pPr>
        <w:rPr>
          <w:rFonts w:asciiTheme="minorHAnsi" w:hAnsiTheme="minorHAnsi" w:cstheme="minorHAnsi"/>
          <w:color w:val="000000" w:themeColor="text1"/>
        </w:rPr>
      </w:pPr>
    </w:p>
    <w:p w14:paraId="25109972" w14:textId="40C1E4C9" w:rsidR="0066338F" w:rsidRPr="00D54E0D" w:rsidRDefault="0066338F">
      <w:pPr>
        <w:rPr>
          <w:rFonts w:asciiTheme="minorHAnsi" w:hAnsiTheme="minorHAnsi" w:cstheme="minorHAnsi"/>
          <w:color w:val="000000" w:themeColor="text1"/>
        </w:rPr>
      </w:pPr>
      <w:r w:rsidRPr="00D54E0D">
        <w:rPr>
          <w:rFonts w:asciiTheme="minorHAnsi" w:hAnsiTheme="minorHAnsi" w:cstheme="minorHAnsi"/>
          <w:color w:val="000000" w:themeColor="text1"/>
        </w:rPr>
        <w:t>Cash is King</w:t>
      </w:r>
      <w:r w:rsidR="002025C4" w:rsidRPr="00D54E0D">
        <w:rPr>
          <w:rFonts w:asciiTheme="minorHAnsi" w:hAnsiTheme="minorHAnsi" w:cstheme="minorHAnsi"/>
          <w:color w:val="000000" w:themeColor="text1"/>
        </w:rPr>
        <w:t xml:space="preserve"> (CIK)</w:t>
      </w:r>
      <w:r w:rsidRPr="00D54E0D">
        <w:rPr>
          <w:rFonts w:asciiTheme="minorHAnsi" w:hAnsiTheme="minorHAnsi" w:cstheme="minorHAnsi"/>
          <w:color w:val="000000" w:themeColor="text1"/>
        </w:rPr>
        <w:t xml:space="preserve"> is an SEC registrant that engages in the retail automotive business, both selling and installing </w:t>
      </w:r>
      <w:r w:rsidR="002025C4" w:rsidRPr="00D54E0D">
        <w:rPr>
          <w:rFonts w:asciiTheme="minorHAnsi" w:hAnsiTheme="minorHAnsi" w:cstheme="minorHAnsi"/>
          <w:color w:val="000000" w:themeColor="text1"/>
        </w:rPr>
        <w:t xml:space="preserve">after-market </w:t>
      </w:r>
      <w:r w:rsidRPr="00D54E0D">
        <w:rPr>
          <w:rFonts w:asciiTheme="minorHAnsi" w:hAnsiTheme="minorHAnsi" w:cstheme="minorHAnsi"/>
          <w:color w:val="000000" w:themeColor="text1"/>
        </w:rPr>
        <w:t>parts on cars</w:t>
      </w:r>
      <w:r w:rsidR="002025C4" w:rsidRPr="00D54E0D">
        <w:rPr>
          <w:rFonts w:asciiTheme="minorHAnsi" w:hAnsiTheme="minorHAnsi" w:cstheme="minorHAnsi"/>
          <w:color w:val="000000" w:themeColor="text1"/>
        </w:rPr>
        <w:t xml:space="preserve">, as well as providing automotive repairs and service. The business, a national chain, operates on a fiscal calendar year. </w:t>
      </w:r>
      <w:r w:rsidR="002E6E91" w:rsidRPr="00D54E0D">
        <w:rPr>
          <w:rFonts w:asciiTheme="minorHAnsi" w:hAnsiTheme="minorHAnsi" w:cstheme="minorHAnsi"/>
          <w:color w:val="000000" w:themeColor="text1"/>
        </w:rPr>
        <w:t xml:space="preserve">Cash is King had three transactions during </w:t>
      </w:r>
      <w:r w:rsidR="00376A21" w:rsidRPr="00D54E0D">
        <w:rPr>
          <w:rFonts w:asciiTheme="minorHAnsi" w:hAnsiTheme="minorHAnsi" w:cstheme="minorHAnsi"/>
          <w:color w:val="000000" w:themeColor="text1"/>
        </w:rPr>
        <w:t xml:space="preserve">2020 </w:t>
      </w:r>
      <w:r w:rsidR="002E6E91" w:rsidRPr="00D54E0D">
        <w:rPr>
          <w:rFonts w:asciiTheme="minorHAnsi" w:hAnsiTheme="minorHAnsi" w:cstheme="minorHAnsi"/>
          <w:color w:val="000000" w:themeColor="text1"/>
        </w:rPr>
        <w:t>that require special treatment on the Statement of Cash Flows.</w:t>
      </w:r>
    </w:p>
    <w:p w14:paraId="6369AE9D" w14:textId="685CB225" w:rsidR="002E6E91" w:rsidRPr="00D54E0D" w:rsidRDefault="002E6E91">
      <w:pPr>
        <w:rPr>
          <w:rFonts w:asciiTheme="minorHAnsi" w:hAnsiTheme="minorHAnsi" w:cstheme="minorHAnsi"/>
          <w:color w:val="000000" w:themeColor="text1"/>
        </w:rPr>
      </w:pPr>
    </w:p>
    <w:p w14:paraId="472B31F9" w14:textId="2FF9C1AC" w:rsidR="002E6E91" w:rsidRPr="00D54E0D" w:rsidRDefault="002E6E91" w:rsidP="002E6E91">
      <w:pPr>
        <w:pStyle w:val="ListParagraph"/>
        <w:numPr>
          <w:ilvl w:val="0"/>
          <w:numId w:val="1"/>
        </w:numPr>
        <w:rPr>
          <w:rFonts w:cstheme="minorHAnsi"/>
          <w:color w:val="000000" w:themeColor="text1"/>
        </w:rPr>
      </w:pPr>
      <w:r w:rsidRPr="00D54E0D">
        <w:rPr>
          <w:rFonts w:cstheme="minorHAnsi"/>
          <w:color w:val="000000" w:themeColor="text1"/>
        </w:rPr>
        <w:t xml:space="preserve">Cash is King spent $20 million on manufacturing equipment and machinery, which is classified as a capital expenditure for Property, Plant and Equipment. The terms of the purchase on account were 2%/15, net 30. The company did not take advantage of the discount, and the purchase carried over into the new year on the Accounts Payable balance. </w:t>
      </w:r>
    </w:p>
    <w:p w14:paraId="1B87BFF3" w14:textId="77777777" w:rsidR="007253BA" w:rsidRPr="00D54E0D" w:rsidRDefault="007253BA" w:rsidP="007253BA">
      <w:pPr>
        <w:pStyle w:val="ListParagraph"/>
        <w:rPr>
          <w:rFonts w:cstheme="minorHAnsi"/>
          <w:color w:val="000000" w:themeColor="text1"/>
        </w:rPr>
      </w:pPr>
    </w:p>
    <w:p w14:paraId="49BF47E3" w14:textId="41DB864C" w:rsidR="002E6E91" w:rsidRPr="00D54E0D" w:rsidRDefault="002E6E91" w:rsidP="002E6E91">
      <w:pPr>
        <w:pStyle w:val="ListParagraph"/>
        <w:numPr>
          <w:ilvl w:val="0"/>
          <w:numId w:val="1"/>
        </w:numPr>
        <w:rPr>
          <w:rFonts w:cstheme="minorHAnsi"/>
          <w:color w:val="000000" w:themeColor="text1"/>
        </w:rPr>
      </w:pPr>
      <w:r w:rsidRPr="00D54E0D">
        <w:rPr>
          <w:rFonts w:cstheme="minorHAnsi"/>
          <w:color w:val="000000" w:themeColor="text1"/>
        </w:rPr>
        <w:t>One of the company’s warehouses and sales offices sustained hurricane damage, forcing the company to rent temporary office space. Cash is King settled with its insurance carrier for $15 million in connection with the claim for reimbursement. CIK intends to redirect the $15 million settlement proceeds to “fund its defined-benefit pension plan, rather than to rebuild the destroyed facility”.</w:t>
      </w:r>
    </w:p>
    <w:p w14:paraId="1DBBF438" w14:textId="77777777" w:rsidR="007253BA" w:rsidRPr="00D54E0D" w:rsidRDefault="007253BA" w:rsidP="007253BA">
      <w:pPr>
        <w:pStyle w:val="ListParagraph"/>
        <w:rPr>
          <w:rFonts w:cstheme="minorHAnsi"/>
          <w:color w:val="000000" w:themeColor="text1"/>
        </w:rPr>
      </w:pPr>
    </w:p>
    <w:p w14:paraId="3B5F42D5" w14:textId="13ECA57A" w:rsidR="002E6E91" w:rsidRPr="00D54E0D" w:rsidRDefault="002E6E91" w:rsidP="002E6E91">
      <w:pPr>
        <w:pStyle w:val="ListParagraph"/>
        <w:numPr>
          <w:ilvl w:val="0"/>
          <w:numId w:val="1"/>
        </w:numPr>
        <w:rPr>
          <w:rFonts w:cstheme="minorHAnsi"/>
          <w:color w:val="000000" w:themeColor="text1"/>
        </w:rPr>
      </w:pPr>
      <w:r w:rsidRPr="00D54E0D">
        <w:rPr>
          <w:rFonts w:cstheme="minorHAnsi"/>
          <w:color w:val="000000" w:themeColor="text1"/>
        </w:rPr>
        <w:t>Cash is King s</w:t>
      </w:r>
      <w:r w:rsidR="007253BA" w:rsidRPr="00D54E0D">
        <w:rPr>
          <w:rFonts w:cstheme="minorHAnsi"/>
          <w:color w:val="000000" w:themeColor="text1"/>
        </w:rPr>
        <w:t xml:space="preserve">old $11 million of </w:t>
      </w:r>
      <w:r w:rsidRPr="00D54E0D">
        <w:rPr>
          <w:rFonts w:cstheme="minorHAnsi"/>
          <w:color w:val="000000" w:themeColor="text1"/>
        </w:rPr>
        <w:t xml:space="preserve">accounts receivable as a method to pay down its bank debt, as the interest charged for the securitization of AR is a lower rate than the bank </w:t>
      </w:r>
      <w:r w:rsidR="007253BA" w:rsidRPr="00D54E0D">
        <w:rPr>
          <w:rFonts w:cstheme="minorHAnsi"/>
          <w:color w:val="000000" w:themeColor="text1"/>
        </w:rPr>
        <w:t xml:space="preserve">debt. Additionally, the agreement with the company handling the receivables is that the proceeds must be used to pay down the company debt. </w:t>
      </w:r>
    </w:p>
    <w:p w14:paraId="7894E91F" w14:textId="77777777" w:rsidR="00D54E0D" w:rsidRPr="00D54E0D" w:rsidRDefault="00D54E0D" w:rsidP="00D54E0D">
      <w:pPr>
        <w:rPr>
          <w:rFonts w:cstheme="minorHAnsi"/>
          <w:color w:val="000000" w:themeColor="text1"/>
        </w:rPr>
      </w:pPr>
    </w:p>
    <w:p w14:paraId="266F1F7A" w14:textId="4E94BD51" w:rsidR="007253BA" w:rsidRPr="00D54E0D" w:rsidRDefault="007253BA" w:rsidP="007253BA">
      <w:pPr>
        <w:rPr>
          <w:rFonts w:asciiTheme="minorHAnsi" w:hAnsiTheme="minorHAnsi" w:cstheme="minorHAnsi"/>
          <w:color w:val="000000" w:themeColor="text1"/>
        </w:rPr>
      </w:pPr>
    </w:p>
    <w:p w14:paraId="3B2FB660" w14:textId="2EE6C5FB" w:rsidR="007253BA" w:rsidRPr="00D54E0D" w:rsidRDefault="0008059F" w:rsidP="007253BA">
      <w:pPr>
        <w:rPr>
          <w:rFonts w:asciiTheme="minorHAnsi" w:hAnsiTheme="minorHAnsi" w:cstheme="minorHAnsi"/>
          <w:b/>
          <w:bCs/>
          <w:color w:val="000000" w:themeColor="text1"/>
        </w:rPr>
      </w:pPr>
      <w:r w:rsidRPr="00D54E0D">
        <w:rPr>
          <w:rFonts w:asciiTheme="minorHAnsi" w:hAnsiTheme="minorHAnsi" w:cstheme="minorHAnsi"/>
          <w:b/>
          <w:bCs/>
          <w:color w:val="000000" w:themeColor="text1"/>
        </w:rPr>
        <w:t>1. Transaction #</w:t>
      </w:r>
      <w:r w:rsidR="007253BA" w:rsidRPr="00D54E0D">
        <w:rPr>
          <w:rFonts w:asciiTheme="minorHAnsi" w:hAnsiTheme="minorHAnsi" w:cstheme="minorHAnsi"/>
          <w:b/>
          <w:bCs/>
          <w:color w:val="000000" w:themeColor="text1"/>
        </w:rPr>
        <w:t>1: What is the appropriate cash flow statement treatment (classification and timing) for the purchase of $20 million worth of capital expenditures in PPE?</w:t>
      </w:r>
    </w:p>
    <w:p w14:paraId="61AF2BD4" w14:textId="77777777" w:rsidR="004B2C4F" w:rsidRPr="00D54E0D" w:rsidRDefault="004B2C4F" w:rsidP="007253BA">
      <w:pPr>
        <w:rPr>
          <w:rFonts w:asciiTheme="minorHAnsi" w:hAnsiTheme="minorHAnsi" w:cstheme="minorHAnsi"/>
          <w:color w:val="000000" w:themeColor="text1"/>
        </w:rPr>
      </w:pPr>
    </w:p>
    <w:p w14:paraId="38C1F6D2" w14:textId="2107414C" w:rsidR="004B2C4F" w:rsidRPr="00800273" w:rsidRDefault="006339C5" w:rsidP="007253BA">
      <w:pPr>
        <w:rPr>
          <w:rFonts w:asciiTheme="minorHAnsi" w:hAnsiTheme="minorHAnsi" w:cstheme="minorHAnsi"/>
          <w:color w:val="000000" w:themeColor="text1"/>
        </w:rPr>
      </w:pPr>
      <w:r w:rsidRPr="00800273">
        <w:rPr>
          <w:rFonts w:asciiTheme="minorHAnsi" w:hAnsiTheme="minorHAnsi" w:cstheme="minorHAnsi"/>
          <w:color w:val="000000" w:themeColor="text1"/>
        </w:rPr>
        <w:t>The acquisition of property, plant and equipment on account should not be reflected in the statement of cash flows until actual payments have been made. Such amount should be disclosed as a noncash investing and financing activity, either in narrative disclosure or summarized in a schedule.</w:t>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t xml:space="preserve">     </w:t>
      </w:r>
    </w:p>
    <w:p w14:paraId="7F777F87" w14:textId="5CB6971B" w:rsidR="009955BB" w:rsidRPr="00800273" w:rsidRDefault="009955BB" w:rsidP="007253BA">
      <w:pPr>
        <w:rPr>
          <w:rFonts w:asciiTheme="minorHAnsi" w:hAnsiTheme="minorHAnsi" w:cstheme="minorHAnsi"/>
          <w:strike/>
          <w:color w:val="000000" w:themeColor="text1"/>
        </w:rPr>
      </w:pPr>
      <w:r w:rsidRPr="00800273">
        <w:rPr>
          <w:rFonts w:asciiTheme="minorHAnsi" w:hAnsiTheme="minorHAnsi" w:cstheme="minorHAnsi"/>
          <w:color w:val="000000" w:themeColor="text1"/>
        </w:rPr>
        <w:t xml:space="preserve">  </w:t>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r>
      <w:r w:rsidRPr="00800273">
        <w:rPr>
          <w:rFonts w:asciiTheme="minorHAnsi" w:hAnsiTheme="minorHAnsi" w:cstheme="minorHAnsi"/>
          <w:color w:val="000000" w:themeColor="text1"/>
        </w:rPr>
        <w:tab/>
        <w:t xml:space="preserve">     </w:t>
      </w:r>
    </w:p>
    <w:p w14:paraId="3237902B" w14:textId="30575AE1" w:rsidR="009955BB" w:rsidRPr="00800273" w:rsidRDefault="009955BB" w:rsidP="009955BB">
      <w:pPr>
        <w:rPr>
          <w:rFonts w:asciiTheme="minorHAnsi" w:eastAsia="Calibri" w:hAnsiTheme="minorHAnsi" w:cstheme="minorHAnsi"/>
          <w:color w:val="000000" w:themeColor="text1"/>
        </w:rPr>
      </w:pPr>
      <w:r w:rsidRPr="00800273">
        <w:rPr>
          <w:rFonts w:asciiTheme="minorHAnsi" w:eastAsia="Calibri" w:hAnsiTheme="minorHAnsi" w:cstheme="minorHAnsi"/>
          <w:color w:val="000000" w:themeColor="text1"/>
        </w:rPr>
        <w:t xml:space="preserve">According to 230-10-10-1, cash flow statement should provide information about entity's cash receipts and disbursements during a period. Also, 230-10-45-1 states that cash flow statement should report the cash effects during an entity's operating period. Therefore, the acquisition of property, plant and equipment on account should not be reflected in the statement of cash flows until actual payments have been made. </w:t>
      </w:r>
    </w:p>
    <w:p w14:paraId="18A292D9" w14:textId="77777777" w:rsidR="009955BB" w:rsidRPr="00800273" w:rsidRDefault="009955BB" w:rsidP="009955BB">
      <w:pPr>
        <w:rPr>
          <w:rFonts w:asciiTheme="minorHAnsi" w:eastAsia="Calibri" w:hAnsiTheme="minorHAnsi" w:cstheme="minorHAnsi"/>
          <w:color w:val="000000" w:themeColor="text1"/>
        </w:rPr>
      </w:pPr>
    </w:p>
    <w:p w14:paraId="2FE83E6A" w14:textId="6645F0F2" w:rsidR="009955BB" w:rsidRDefault="009955BB" w:rsidP="009955BB">
      <w:pPr>
        <w:rPr>
          <w:rFonts w:asciiTheme="minorHAnsi" w:eastAsia="Calibri" w:hAnsiTheme="minorHAnsi" w:cstheme="minorHAnsi"/>
          <w:color w:val="000000" w:themeColor="text1"/>
        </w:rPr>
      </w:pPr>
      <w:r w:rsidRPr="00800273">
        <w:rPr>
          <w:rFonts w:asciiTheme="minorHAnsi" w:eastAsia="Calibri" w:hAnsiTheme="minorHAnsi" w:cstheme="minorHAnsi"/>
          <w:color w:val="000000" w:themeColor="text1"/>
        </w:rPr>
        <w:lastRenderedPageBreak/>
        <w:t xml:space="preserve">ASC 230-10-50-3 states that transactions that affect recognized assets and/or liabilities must be disclosed even though no cash was exchanged. Therefore, such amount should be disclosed as a noncash investing activity, either in narrative disclosure or summarized in a schedule. </w:t>
      </w:r>
    </w:p>
    <w:p w14:paraId="24395EB0" w14:textId="77777777" w:rsidR="00800273" w:rsidRPr="00800273" w:rsidRDefault="00800273" w:rsidP="009955BB">
      <w:pPr>
        <w:rPr>
          <w:rFonts w:asciiTheme="minorHAnsi" w:eastAsia="Calibri" w:hAnsiTheme="minorHAnsi" w:cstheme="minorHAnsi"/>
          <w:color w:val="000000" w:themeColor="text1"/>
        </w:rPr>
      </w:pPr>
    </w:p>
    <w:p w14:paraId="0923DFF4" w14:textId="500C6E4E" w:rsidR="00ED2AF8" w:rsidRPr="00800273" w:rsidRDefault="005756DB" w:rsidP="007253BA">
      <w:pPr>
        <w:rPr>
          <w:rFonts w:asciiTheme="minorHAnsi" w:hAnsiTheme="minorHAnsi" w:cstheme="minorHAnsi"/>
          <w:b/>
          <w:bCs/>
          <w:color w:val="000000" w:themeColor="text1"/>
        </w:rPr>
      </w:pPr>
      <w:r w:rsidRPr="00800273">
        <w:rPr>
          <w:rFonts w:asciiTheme="minorHAnsi" w:hAnsiTheme="minorHAnsi" w:cstheme="minorHAnsi"/>
          <w:b/>
          <w:bCs/>
          <w:color w:val="000000" w:themeColor="text1"/>
        </w:rPr>
        <w:t xml:space="preserve">2. Transaction #2: What is the appropriate cash flow statement treatment (classification and timing) for </w:t>
      </w:r>
      <w:r w:rsidR="00FC4E10" w:rsidRPr="00800273">
        <w:rPr>
          <w:rFonts w:asciiTheme="minorHAnsi" w:hAnsiTheme="minorHAnsi" w:cstheme="minorHAnsi"/>
          <w:b/>
          <w:bCs/>
          <w:color w:val="000000" w:themeColor="text1"/>
        </w:rPr>
        <w:t>the $15 million insurance reimbursement for the damage to the warehouse sustained during the hurricane?</w:t>
      </w:r>
    </w:p>
    <w:p w14:paraId="5E48606E" w14:textId="19A83D85" w:rsidR="00DC3886" w:rsidRPr="00D54E0D" w:rsidRDefault="00DC3886" w:rsidP="007253BA">
      <w:pPr>
        <w:rPr>
          <w:rFonts w:asciiTheme="minorHAnsi" w:hAnsiTheme="minorHAnsi" w:cstheme="minorHAnsi"/>
          <w:color w:val="000000" w:themeColor="text1"/>
        </w:rPr>
      </w:pPr>
    </w:p>
    <w:p w14:paraId="664CDDD2" w14:textId="2DB8DBA7" w:rsidR="00DC3886" w:rsidRPr="00D54E0D" w:rsidRDefault="00DC3886" w:rsidP="007253BA">
      <w:pPr>
        <w:rPr>
          <w:rFonts w:asciiTheme="minorHAnsi" w:hAnsiTheme="minorHAnsi" w:cstheme="minorHAnsi"/>
          <w:b/>
          <w:bCs/>
          <w:color w:val="000000" w:themeColor="text1"/>
        </w:rPr>
      </w:pPr>
      <w:r w:rsidRPr="00D54E0D">
        <w:rPr>
          <w:rFonts w:asciiTheme="minorHAnsi" w:hAnsiTheme="minorHAnsi" w:cstheme="minorHAnsi"/>
          <w:color w:val="000000" w:themeColor="text1"/>
        </w:rPr>
        <w:t>Cash is King should classify the $15 million insurance reimbursement</w:t>
      </w:r>
      <w:r w:rsidR="00B17331" w:rsidRPr="00D54E0D">
        <w:rPr>
          <w:rFonts w:asciiTheme="minorHAnsi" w:hAnsiTheme="minorHAnsi" w:cstheme="minorHAnsi"/>
          <w:color w:val="000000" w:themeColor="text1"/>
        </w:rPr>
        <w:t xml:space="preserve"> of the warehouse damage as investing </w:t>
      </w:r>
      <w:r w:rsidR="00D54E0D" w:rsidRPr="00D54E0D">
        <w:rPr>
          <w:rFonts w:asciiTheme="minorHAnsi" w:hAnsiTheme="minorHAnsi" w:cstheme="minorHAnsi"/>
          <w:color w:val="000000" w:themeColor="text1"/>
        </w:rPr>
        <w:t>activity</w:t>
      </w:r>
      <w:r w:rsidR="00B17331" w:rsidRPr="00D54E0D">
        <w:rPr>
          <w:rFonts w:asciiTheme="minorHAnsi" w:hAnsiTheme="minorHAnsi" w:cstheme="minorHAnsi"/>
          <w:color w:val="000000" w:themeColor="text1"/>
        </w:rPr>
        <w:t xml:space="preserve"> in its December 31</w:t>
      </w:r>
      <w:r w:rsidR="007B22A2" w:rsidRPr="00D54E0D">
        <w:rPr>
          <w:rFonts w:asciiTheme="minorHAnsi" w:hAnsiTheme="minorHAnsi" w:cstheme="minorHAnsi"/>
          <w:color w:val="000000" w:themeColor="text1"/>
        </w:rPr>
        <w:t>, 2020</w:t>
      </w:r>
      <w:r w:rsidR="00C0287A" w:rsidRPr="00D54E0D">
        <w:rPr>
          <w:rFonts w:asciiTheme="minorHAnsi" w:hAnsiTheme="minorHAnsi" w:cstheme="minorHAnsi"/>
          <w:color w:val="000000" w:themeColor="text1"/>
        </w:rPr>
        <w:t xml:space="preserve"> statement of cash flows</w:t>
      </w:r>
      <w:r w:rsidR="00D54E0D" w:rsidRPr="00D54E0D">
        <w:rPr>
          <w:rFonts w:asciiTheme="minorHAnsi" w:hAnsiTheme="minorHAnsi" w:cstheme="minorHAnsi"/>
          <w:color w:val="000000" w:themeColor="text1"/>
        </w:rPr>
        <w:t>.</w:t>
      </w:r>
    </w:p>
    <w:p w14:paraId="740B44D8" w14:textId="7AE8D9FF" w:rsidR="0008059F" w:rsidRPr="00D54E0D" w:rsidRDefault="0008059F" w:rsidP="007253BA">
      <w:pPr>
        <w:rPr>
          <w:rFonts w:asciiTheme="minorHAnsi" w:hAnsiTheme="minorHAnsi" w:cstheme="minorHAnsi"/>
          <w:color w:val="000000" w:themeColor="text1"/>
        </w:rPr>
      </w:pPr>
    </w:p>
    <w:p w14:paraId="532A112F" w14:textId="77777777" w:rsidR="00F71378" w:rsidRPr="00800273" w:rsidRDefault="00EF2022" w:rsidP="0008059F">
      <w:pPr>
        <w:rPr>
          <w:rFonts w:asciiTheme="minorHAnsi" w:hAnsiTheme="minorHAnsi" w:cstheme="minorHAnsi"/>
          <w:color w:val="000000" w:themeColor="text1"/>
        </w:rPr>
      </w:pPr>
      <w:r w:rsidRPr="00800273">
        <w:rPr>
          <w:rFonts w:asciiTheme="minorHAnsi" w:hAnsiTheme="minorHAnsi" w:cstheme="minorHAnsi"/>
          <w:color w:val="000000" w:themeColor="text1"/>
        </w:rPr>
        <w:t>ASC 230-10-</w:t>
      </w:r>
      <w:r w:rsidR="0008059F" w:rsidRPr="00800273">
        <w:rPr>
          <w:rFonts w:asciiTheme="minorHAnsi" w:hAnsiTheme="minorHAnsi" w:cstheme="minorHAnsi"/>
          <w:color w:val="000000" w:themeColor="text1"/>
        </w:rPr>
        <w:t>45-21B</w:t>
      </w:r>
      <w:r w:rsidR="00951990" w:rsidRPr="00800273">
        <w:rPr>
          <w:rFonts w:asciiTheme="minorHAnsi" w:hAnsiTheme="minorHAnsi" w:cstheme="minorHAnsi"/>
          <w:color w:val="000000" w:themeColor="text1"/>
        </w:rPr>
        <w:t xml:space="preserve"> identifies the proceeds from the settlement of insurance claims:</w:t>
      </w:r>
      <w:r w:rsidR="0008059F" w:rsidRPr="00800273">
        <w:rPr>
          <w:rFonts w:asciiTheme="minorHAnsi" w:hAnsiTheme="minorHAnsi" w:cstheme="minorHAnsi"/>
          <w:color w:val="000000" w:themeColor="text1"/>
        </w:rPr>
        <w:t> </w:t>
      </w:r>
    </w:p>
    <w:p w14:paraId="45C77BA6" w14:textId="18E750C3" w:rsidR="0008059F" w:rsidRPr="00800273" w:rsidRDefault="0008059F" w:rsidP="0008059F">
      <w:pPr>
        <w:rPr>
          <w:rFonts w:asciiTheme="minorHAnsi" w:hAnsiTheme="minorHAnsi" w:cstheme="minorHAnsi"/>
          <w:color w:val="000000" w:themeColor="text1"/>
        </w:rPr>
      </w:pPr>
      <w:r w:rsidRPr="00800273">
        <w:rPr>
          <w:rFonts w:asciiTheme="minorHAnsi" w:hAnsiTheme="minorHAnsi" w:cstheme="minorHAnsi"/>
          <w:color w:val="000000" w:themeColor="text1"/>
        </w:rPr>
        <w:t xml:space="preserve">Cash receipts resulting from the settlement of insurance claims, excluding proceeds received from corporate-owned life insurance policies and bank-owned life insurance policies, shall be classified on the basis of the related insurance coverage (that is, the nature of the loss). For insurance proceeds that are received in a lump-sum settlement, an entity shall determine the classification on the basis of the nature of each loss </w:t>
      </w:r>
      <w:r w:rsidR="009955BB" w:rsidRPr="00800273">
        <w:rPr>
          <w:rFonts w:asciiTheme="minorHAnsi" w:hAnsiTheme="minorHAnsi" w:cstheme="minorHAnsi"/>
          <w:color w:val="000000" w:themeColor="text1"/>
        </w:rPr>
        <w:t xml:space="preserve">(destruction of capital asset) </w:t>
      </w:r>
      <w:r w:rsidRPr="00800273">
        <w:rPr>
          <w:rFonts w:asciiTheme="minorHAnsi" w:hAnsiTheme="minorHAnsi" w:cstheme="minorHAnsi"/>
          <w:color w:val="000000" w:themeColor="text1"/>
        </w:rPr>
        <w:t>included in the settlement.</w:t>
      </w:r>
    </w:p>
    <w:p w14:paraId="6A5AA16D" w14:textId="77777777" w:rsidR="00F71378" w:rsidRPr="00800273" w:rsidRDefault="00F71378" w:rsidP="0008059F">
      <w:pPr>
        <w:rPr>
          <w:rFonts w:asciiTheme="minorHAnsi" w:hAnsiTheme="minorHAnsi" w:cstheme="minorHAnsi"/>
          <w:color w:val="000000" w:themeColor="text1"/>
        </w:rPr>
      </w:pPr>
    </w:p>
    <w:p w14:paraId="072CC21D" w14:textId="77777777" w:rsidR="00366B90" w:rsidRPr="00800273" w:rsidRDefault="00366B90" w:rsidP="00D54E0D">
      <w:pPr>
        <w:rPr>
          <w:rFonts w:asciiTheme="minorHAnsi" w:hAnsiTheme="minorHAnsi" w:cstheme="minorHAnsi"/>
          <w:color w:val="000000" w:themeColor="text1"/>
        </w:rPr>
      </w:pPr>
      <w:r w:rsidRPr="00800273">
        <w:rPr>
          <w:rFonts w:asciiTheme="minorHAnsi" w:hAnsiTheme="minorHAnsi" w:cstheme="minorHAnsi"/>
          <w:color w:val="000000" w:themeColor="text1"/>
        </w:rPr>
        <w:t xml:space="preserve">ASC 230-10-45- 12 provides that some receipts from insurance settlements are classified as investing activities. Proceeds that are from insurance on a building that has been damaged or destroyed are included as receipts from disposing of plant, property, and equipment. This proceed from an insurance settlement is categorized as an investing activity. </w:t>
      </w:r>
    </w:p>
    <w:p w14:paraId="5B1F741A" w14:textId="77777777" w:rsidR="00366B90" w:rsidRPr="00800273" w:rsidRDefault="00366B90" w:rsidP="00366B90">
      <w:pPr>
        <w:pStyle w:val="ListParagraph"/>
        <w:rPr>
          <w:rFonts w:cstheme="minorHAnsi"/>
          <w:color w:val="000000" w:themeColor="text1"/>
        </w:rPr>
      </w:pPr>
    </w:p>
    <w:p w14:paraId="60B5F1AB" w14:textId="77777777" w:rsidR="00366B90" w:rsidRPr="00800273" w:rsidRDefault="00366B90" w:rsidP="00D54E0D">
      <w:pPr>
        <w:rPr>
          <w:rFonts w:asciiTheme="minorHAnsi" w:hAnsiTheme="minorHAnsi" w:cstheme="minorHAnsi"/>
          <w:color w:val="000000" w:themeColor="text1"/>
        </w:rPr>
      </w:pPr>
      <w:r w:rsidRPr="00800273">
        <w:rPr>
          <w:rFonts w:asciiTheme="minorHAnsi" w:hAnsiTheme="minorHAnsi" w:cstheme="minorHAnsi"/>
          <w:color w:val="000000" w:themeColor="text1"/>
        </w:rPr>
        <w:t xml:space="preserve">ASC 230-10-45-16 (c) states: </w:t>
      </w:r>
    </w:p>
    <w:p w14:paraId="3F05205C" w14:textId="77777777" w:rsidR="00366B90" w:rsidRPr="00800273" w:rsidRDefault="00366B90" w:rsidP="00366B90">
      <w:pPr>
        <w:pStyle w:val="ListParagraph"/>
        <w:rPr>
          <w:rFonts w:cstheme="minorHAnsi"/>
          <w:color w:val="000000" w:themeColor="text1"/>
        </w:rPr>
      </w:pPr>
      <w:r w:rsidRPr="00800273">
        <w:rPr>
          <w:rFonts w:cstheme="minorHAnsi"/>
          <w:color w:val="000000" w:themeColor="text1"/>
        </w:rPr>
        <w:t xml:space="preserve">All of the following are cash inflows from operating activities: </w:t>
      </w:r>
    </w:p>
    <w:p w14:paraId="42B75133" w14:textId="77777777" w:rsidR="00366B90" w:rsidRPr="00800273" w:rsidRDefault="00366B90" w:rsidP="00366B90">
      <w:pPr>
        <w:pStyle w:val="ListParagraph"/>
        <w:rPr>
          <w:rFonts w:cstheme="minorHAnsi"/>
          <w:color w:val="000000" w:themeColor="text1"/>
        </w:rPr>
      </w:pPr>
      <w:r w:rsidRPr="00800273">
        <w:rPr>
          <w:rFonts w:cstheme="minorHAnsi"/>
          <w:color w:val="000000" w:themeColor="text1"/>
        </w:rPr>
        <w:t xml:space="preserve">c. All other cash receipts that do not stem from transactions defined as investing or financing activities, such as…proceeds of insurance settlements except for those that are directly related to investing or financing activities, such as from destruction of a building; and refunds from suppliers. </w:t>
      </w:r>
    </w:p>
    <w:p w14:paraId="0DB2DAF6" w14:textId="77777777" w:rsidR="00366B90" w:rsidRPr="00800273" w:rsidRDefault="00366B90" w:rsidP="00366B90">
      <w:pPr>
        <w:pStyle w:val="ListParagraph"/>
        <w:rPr>
          <w:rFonts w:cstheme="minorHAnsi"/>
          <w:color w:val="000000" w:themeColor="text1"/>
        </w:rPr>
      </w:pPr>
    </w:p>
    <w:p w14:paraId="2186C325" w14:textId="77777777" w:rsidR="00366B90" w:rsidRPr="00800273" w:rsidRDefault="00366B90" w:rsidP="00366B90">
      <w:pPr>
        <w:rPr>
          <w:rFonts w:asciiTheme="minorHAnsi" w:hAnsiTheme="minorHAnsi" w:cstheme="minorHAnsi"/>
          <w:color w:val="000000" w:themeColor="text1"/>
        </w:rPr>
      </w:pPr>
      <w:r w:rsidRPr="00800273">
        <w:rPr>
          <w:rFonts w:asciiTheme="minorHAnsi" w:hAnsiTheme="minorHAnsi" w:cstheme="minorHAnsi"/>
          <w:color w:val="000000" w:themeColor="text1"/>
        </w:rPr>
        <w:lastRenderedPageBreak/>
        <w:t xml:space="preserve">As the insurance settlement proceeds relate to the destruction of property, plant and equipment, the proceeds should be classified as investing cash inflows. </w:t>
      </w:r>
    </w:p>
    <w:p w14:paraId="089E1F91" w14:textId="2F320E90" w:rsidR="009E0376" w:rsidRPr="00D54E0D" w:rsidRDefault="009E0376" w:rsidP="00366B90">
      <w:pPr>
        <w:rPr>
          <w:rFonts w:asciiTheme="minorHAnsi" w:hAnsiTheme="minorHAnsi" w:cstheme="minorHAnsi"/>
          <w:color w:val="000000" w:themeColor="text1"/>
        </w:rPr>
      </w:pPr>
    </w:p>
    <w:p w14:paraId="512E43F1" w14:textId="0BE99D5F" w:rsidR="0008059F" w:rsidRPr="00D54E0D" w:rsidRDefault="0008059F" w:rsidP="0008059F">
      <w:pPr>
        <w:rPr>
          <w:rFonts w:asciiTheme="minorHAnsi" w:hAnsiTheme="minorHAnsi" w:cstheme="minorHAnsi"/>
          <w:color w:val="000000" w:themeColor="text1"/>
        </w:rPr>
      </w:pPr>
    </w:p>
    <w:p w14:paraId="39309796" w14:textId="4C0DC5F8" w:rsidR="000548D5" w:rsidRPr="00D54E0D" w:rsidRDefault="000548D5" w:rsidP="000548D5">
      <w:pPr>
        <w:rPr>
          <w:rFonts w:asciiTheme="minorHAnsi" w:hAnsiTheme="minorHAnsi" w:cstheme="minorHAnsi"/>
          <w:b/>
          <w:bCs/>
          <w:color w:val="000000" w:themeColor="text1"/>
        </w:rPr>
      </w:pPr>
      <w:r w:rsidRPr="00D54E0D">
        <w:rPr>
          <w:rFonts w:asciiTheme="minorHAnsi" w:hAnsiTheme="minorHAnsi" w:cstheme="minorHAnsi"/>
          <w:b/>
          <w:bCs/>
          <w:color w:val="000000" w:themeColor="text1"/>
        </w:rPr>
        <w:t>3. Transaction #3: What is the appropriate cash flow statement treatment (classification and timing) for the sale of accounts receivables, and subsequent agreement to use the proceeds to pay down higher interest debt.</w:t>
      </w:r>
    </w:p>
    <w:p w14:paraId="18343674" w14:textId="77777777" w:rsidR="000548D5" w:rsidRPr="00D54E0D" w:rsidRDefault="000548D5" w:rsidP="000548D5">
      <w:pPr>
        <w:rPr>
          <w:rFonts w:asciiTheme="minorHAnsi" w:hAnsiTheme="minorHAnsi" w:cstheme="minorHAnsi"/>
          <w:color w:val="000000" w:themeColor="text1"/>
        </w:rPr>
      </w:pPr>
    </w:p>
    <w:p w14:paraId="2619B544" w14:textId="2BC8D196" w:rsidR="000548D5" w:rsidRPr="00800273" w:rsidRDefault="000548D5" w:rsidP="000548D5">
      <w:pPr>
        <w:rPr>
          <w:rFonts w:asciiTheme="minorHAnsi" w:hAnsiTheme="minorHAnsi" w:cstheme="minorHAnsi"/>
          <w:color w:val="000000" w:themeColor="text1"/>
        </w:rPr>
      </w:pPr>
      <w:r w:rsidRPr="00800273">
        <w:rPr>
          <w:rFonts w:asciiTheme="minorHAnsi" w:hAnsiTheme="minorHAnsi" w:cstheme="minorHAnsi"/>
          <w:color w:val="000000" w:themeColor="text1"/>
        </w:rPr>
        <w:t>Cash is King should classify the sale of $11 million in AR as a</w:t>
      </w:r>
      <w:r w:rsidR="00D54E0D" w:rsidRPr="00800273">
        <w:rPr>
          <w:rFonts w:asciiTheme="minorHAnsi" w:hAnsiTheme="minorHAnsi" w:cstheme="minorHAnsi"/>
          <w:color w:val="000000" w:themeColor="text1"/>
        </w:rPr>
        <w:t>n</w:t>
      </w:r>
      <w:r w:rsidR="007A5E77" w:rsidRPr="00800273">
        <w:rPr>
          <w:rFonts w:asciiTheme="minorHAnsi" w:hAnsiTheme="minorHAnsi" w:cstheme="minorHAnsi"/>
          <w:color w:val="000000" w:themeColor="text1"/>
        </w:rPr>
        <w:t xml:space="preserve"> </w:t>
      </w:r>
      <w:r w:rsidR="00D54E0D" w:rsidRPr="00800273">
        <w:rPr>
          <w:rFonts w:asciiTheme="minorHAnsi" w:hAnsiTheme="minorHAnsi" w:cstheme="minorHAnsi"/>
          <w:color w:val="000000" w:themeColor="text1"/>
        </w:rPr>
        <w:t>operating</w:t>
      </w:r>
      <w:r w:rsidR="007A5E77" w:rsidRPr="00800273">
        <w:rPr>
          <w:rFonts w:asciiTheme="minorHAnsi" w:hAnsiTheme="minorHAnsi" w:cstheme="minorHAnsi"/>
          <w:color w:val="000000" w:themeColor="text1"/>
        </w:rPr>
        <w:t xml:space="preserve"> activity </w:t>
      </w:r>
      <w:r w:rsidRPr="00800273">
        <w:rPr>
          <w:rFonts w:asciiTheme="minorHAnsi" w:hAnsiTheme="minorHAnsi" w:cstheme="minorHAnsi"/>
          <w:color w:val="000000" w:themeColor="text1"/>
        </w:rPr>
        <w:t>in its December 31, 2020 statement of cash flows.</w:t>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r>
      <w:r w:rsidR="00366B90" w:rsidRPr="00800273">
        <w:rPr>
          <w:rFonts w:asciiTheme="minorHAnsi" w:hAnsiTheme="minorHAnsi" w:cstheme="minorHAnsi"/>
          <w:color w:val="000000" w:themeColor="text1"/>
        </w:rPr>
        <w:tab/>
        <w:t xml:space="preserve">      </w:t>
      </w:r>
    </w:p>
    <w:p w14:paraId="7106AC93" w14:textId="55AC1581" w:rsidR="007A5E77" w:rsidRPr="00800273" w:rsidRDefault="007A5E77" w:rsidP="007A5E77">
      <w:pPr>
        <w:rPr>
          <w:rFonts w:asciiTheme="minorHAnsi" w:hAnsiTheme="minorHAnsi" w:cstheme="minorHAnsi"/>
          <w:color w:val="000000" w:themeColor="text1"/>
        </w:rPr>
      </w:pPr>
    </w:p>
    <w:p w14:paraId="45C1D7B8" w14:textId="61EEDC2A" w:rsidR="00E54AB2" w:rsidRPr="00800273" w:rsidRDefault="00E54AB2" w:rsidP="007A5E77">
      <w:pPr>
        <w:rPr>
          <w:rFonts w:asciiTheme="minorHAnsi" w:hAnsiTheme="minorHAnsi" w:cstheme="minorHAnsi"/>
          <w:color w:val="000000" w:themeColor="text1"/>
        </w:rPr>
      </w:pPr>
      <w:r w:rsidRPr="00800273">
        <w:rPr>
          <w:rFonts w:asciiTheme="minorHAnsi" w:hAnsiTheme="minorHAnsi" w:cstheme="minorHAnsi"/>
          <w:color w:val="000000" w:themeColor="text1"/>
        </w:rPr>
        <w:t>ASC 230-10-20 defines operating activities as follows:</w:t>
      </w:r>
    </w:p>
    <w:p w14:paraId="7BAF77DD" w14:textId="21DBDA39" w:rsidR="00E54AB2" w:rsidRPr="00800273" w:rsidRDefault="00E54AB2" w:rsidP="00E54AB2">
      <w:pPr>
        <w:rPr>
          <w:rFonts w:asciiTheme="minorHAnsi" w:hAnsiTheme="minorHAnsi" w:cstheme="minorHAnsi"/>
          <w:color w:val="000000" w:themeColor="text1"/>
        </w:rPr>
      </w:pPr>
      <w:r w:rsidRPr="00800273">
        <w:rPr>
          <w:rFonts w:asciiTheme="minorHAnsi" w:hAnsiTheme="minorHAnsi" w:cstheme="minorHAnsi"/>
          <w:color w:val="000000" w:themeColor="text1"/>
        </w:rPr>
        <w:t>Operating activities include all transactions and other events that are not defined as investing or financing activities (see paragraphs 230-10-45-12 through 230-10-45-15). Operating activities generally involve producing and delivering good and providing services. Cash flows from operating activities are generally the cash effects of transactions and other events that enter into the determination of net income.</w:t>
      </w:r>
    </w:p>
    <w:p w14:paraId="0A4F841F" w14:textId="1B5F1FEA" w:rsidR="00E54AB2" w:rsidRPr="00800273" w:rsidRDefault="00E54AB2" w:rsidP="00E54AB2">
      <w:pPr>
        <w:rPr>
          <w:rFonts w:asciiTheme="minorHAnsi" w:hAnsiTheme="minorHAnsi" w:cstheme="minorHAnsi"/>
          <w:color w:val="000000" w:themeColor="text1"/>
        </w:rPr>
      </w:pPr>
    </w:p>
    <w:p w14:paraId="2B581233" w14:textId="449232F4" w:rsidR="00D75E55" w:rsidRPr="00800273" w:rsidRDefault="00D75E55" w:rsidP="00E54AB2">
      <w:pPr>
        <w:rPr>
          <w:rFonts w:asciiTheme="minorHAnsi" w:hAnsiTheme="minorHAnsi" w:cstheme="minorHAnsi"/>
          <w:color w:val="000000" w:themeColor="text1"/>
        </w:rPr>
      </w:pPr>
      <w:r w:rsidRPr="00800273">
        <w:rPr>
          <w:rFonts w:asciiTheme="minorHAnsi" w:hAnsiTheme="minorHAnsi" w:cstheme="minorHAnsi"/>
          <w:color w:val="000000" w:themeColor="text1"/>
        </w:rPr>
        <w:t>ASC 230-10-45-16a identifies following as cash inflows from operating activities:</w:t>
      </w:r>
    </w:p>
    <w:p w14:paraId="4D595FFE" w14:textId="5CF0A1E1" w:rsidR="008C5E2A" w:rsidRPr="00800273" w:rsidRDefault="00D75E55" w:rsidP="008C5E2A">
      <w:pPr>
        <w:pBdr>
          <w:bottom w:val="double" w:sz="6" w:space="1" w:color="auto"/>
        </w:pBdr>
        <w:rPr>
          <w:rFonts w:asciiTheme="minorHAnsi" w:eastAsia="Calibri" w:hAnsiTheme="minorHAnsi" w:cstheme="minorHAnsi"/>
          <w:color w:val="000000" w:themeColor="text1"/>
        </w:rPr>
      </w:pPr>
      <w:r w:rsidRPr="00800273">
        <w:rPr>
          <w:rFonts w:asciiTheme="minorHAnsi" w:hAnsiTheme="minorHAnsi" w:cstheme="minorHAnsi"/>
          <w:color w:val="000000" w:themeColor="text1"/>
        </w:rPr>
        <w:t xml:space="preserve">a. Cash receipts from sales of goods or services, including receipts from collection or sale of accounts and both short- and long-term notes receivable from customers arising from those sales. </w:t>
      </w:r>
    </w:p>
    <w:p w14:paraId="47478CE4" w14:textId="77777777" w:rsidR="00800273" w:rsidRDefault="008C5E2A" w:rsidP="00D54E0D">
      <w:pPr>
        <w:pBdr>
          <w:bottom w:val="double" w:sz="6" w:space="1" w:color="auto"/>
        </w:pBdr>
        <w:rPr>
          <w:rFonts w:asciiTheme="minorHAnsi" w:eastAsia="Calibri" w:hAnsiTheme="minorHAnsi" w:cstheme="minorHAnsi"/>
          <w:color w:val="000000" w:themeColor="text1"/>
        </w:rPr>
      </w:pPr>
      <w:r w:rsidRPr="00800273">
        <w:rPr>
          <w:rFonts w:asciiTheme="minorHAnsi" w:eastAsia="Calibri" w:hAnsiTheme="minorHAnsi" w:cstheme="minorHAnsi"/>
          <w:color w:val="000000" w:themeColor="text1"/>
        </w:rPr>
        <w:t xml:space="preserve">Accordingly, </w:t>
      </w:r>
      <w:r w:rsidR="00D54E0D" w:rsidRPr="00800273">
        <w:rPr>
          <w:rFonts w:asciiTheme="minorHAnsi" w:eastAsia="Calibri" w:hAnsiTheme="minorHAnsi" w:cstheme="minorHAnsi"/>
          <w:color w:val="000000" w:themeColor="text1"/>
        </w:rPr>
        <w:t>a</w:t>
      </w:r>
      <w:r w:rsidRPr="00800273">
        <w:rPr>
          <w:rFonts w:asciiTheme="minorHAnsi" w:eastAsia="Calibri" w:hAnsiTheme="minorHAnsi" w:cstheme="minorHAnsi"/>
          <w:color w:val="000000" w:themeColor="text1"/>
        </w:rPr>
        <w:t xml:space="preserve">ll cash flows ultimately arising from the sale of inventory are operating cash flows regardless of whether the cash flows result from collecting receivables from the customer in the short or long term or from selling receivables to third parties (e.g., in </w:t>
      </w:r>
      <w:r w:rsidR="00D54E0D" w:rsidRPr="00800273">
        <w:rPr>
          <w:rFonts w:asciiTheme="minorHAnsi" w:eastAsia="Calibri" w:hAnsiTheme="minorHAnsi" w:cstheme="minorHAnsi"/>
          <w:color w:val="000000" w:themeColor="text1"/>
        </w:rPr>
        <w:t>an</w:t>
      </w:r>
      <w:r w:rsidRPr="00800273">
        <w:rPr>
          <w:rFonts w:asciiTheme="minorHAnsi" w:eastAsia="Calibri" w:hAnsiTheme="minorHAnsi" w:cstheme="minorHAnsi"/>
          <w:color w:val="000000" w:themeColor="text1"/>
        </w:rPr>
        <w:t xml:space="preserve"> ASC 860, Transfers and Servicing (Statement 140 securitization)). </w:t>
      </w:r>
    </w:p>
    <w:p w14:paraId="31BDE46B" w14:textId="77777777" w:rsidR="00800273" w:rsidRDefault="00800273" w:rsidP="00D54E0D">
      <w:pPr>
        <w:pBdr>
          <w:bottom w:val="double" w:sz="6" w:space="1" w:color="auto"/>
        </w:pBdr>
        <w:rPr>
          <w:rFonts w:asciiTheme="minorHAnsi" w:eastAsia="Calibri" w:hAnsiTheme="minorHAnsi" w:cstheme="minorHAnsi"/>
          <w:color w:val="000000" w:themeColor="text1"/>
        </w:rPr>
      </w:pPr>
    </w:p>
    <w:p w14:paraId="2F4FF476" w14:textId="1EF4D5E1" w:rsidR="002373DB" w:rsidRPr="00800273" w:rsidRDefault="00D54E0D" w:rsidP="00D54E0D">
      <w:pPr>
        <w:pBdr>
          <w:bottom w:val="double" w:sz="6" w:space="1" w:color="auto"/>
        </w:pBdr>
        <w:rPr>
          <w:rFonts w:asciiTheme="minorHAnsi" w:eastAsia="Calibri" w:hAnsiTheme="minorHAnsi" w:cstheme="minorHAnsi"/>
          <w:color w:val="000000" w:themeColor="text1"/>
        </w:rPr>
      </w:pPr>
      <w:r w:rsidRPr="00800273">
        <w:rPr>
          <w:rFonts w:asciiTheme="minorHAnsi" w:eastAsia="Calibri" w:hAnsiTheme="minorHAnsi" w:cstheme="minorHAnsi"/>
          <w:color w:val="000000" w:themeColor="text1"/>
        </w:rPr>
        <w:t>Accounts receivable and sales of accounts receivable are both</w:t>
      </w:r>
      <w:r w:rsidRPr="00800273">
        <w:rPr>
          <w:rFonts w:asciiTheme="minorHAnsi" w:eastAsia="Calibri" w:hAnsiTheme="minorHAnsi" w:cstheme="minorHAnsi"/>
          <w:color w:val="000000" w:themeColor="text1"/>
        </w:rPr>
        <w:t xml:space="preserve"> </w:t>
      </w:r>
      <w:r w:rsidRPr="00800273">
        <w:rPr>
          <w:rFonts w:asciiTheme="minorHAnsi" w:eastAsia="Calibri" w:hAnsiTheme="minorHAnsi" w:cstheme="minorHAnsi"/>
          <w:color w:val="000000" w:themeColor="text1"/>
        </w:rPr>
        <w:t xml:space="preserve">classified as operating activities. Cash is King sold the receivables and removed $11 million from its AR balance. Even though the receivables were used to securitize a loan, this transaction should be classified as an operating cash inflow. </w:t>
      </w:r>
    </w:p>
    <w:p w14:paraId="4BEBF56F" w14:textId="77777777" w:rsidR="00D54E0D" w:rsidRDefault="00D54E0D" w:rsidP="00D54E0D">
      <w:pPr>
        <w:pBdr>
          <w:bottom w:val="double" w:sz="6" w:space="1" w:color="auto"/>
        </w:pBdr>
        <w:rPr>
          <w:rFonts w:eastAsia="Calibri"/>
          <w:color w:val="000000" w:themeColor="text1"/>
        </w:rPr>
      </w:pPr>
    </w:p>
    <w:p w14:paraId="2BFB993A" w14:textId="6E320588" w:rsidR="00D54E0D" w:rsidRDefault="00D54E0D" w:rsidP="00D54E0D">
      <w:pPr>
        <w:pBdr>
          <w:bottom w:val="double" w:sz="6" w:space="1" w:color="auto"/>
        </w:pBdr>
        <w:rPr>
          <w:rFonts w:eastAsia="Calibri"/>
          <w:color w:val="000000" w:themeColor="text1"/>
        </w:rPr>
      </w:pPr>
    </w:p>
    <w:p w14:paraId="739A0D04" w14:textId="19463133" w:rsidR="008C650B" w:rsidRPr="006339C5" w:rsidRDefault="008C650B" w:rsidP="002373DB">
      <w:pPr>
        <w:pStyle w:val="NormalWeb"/>
        <w:spacing w:after="240" w:afterAutospacing="0"/>
        <w:rPr>
          <w:color w:val="000000" w:themeColor="text1"/>
        </w:rPr>
      </w:pPr>
      <w:r w:rsidRPr="006339C5">
        <w:rPr>
          <w:rFonts w:ascii="Verdana" w:hAnsi="Verdana"/>
          <w:color w:val="000000" w:themeColor="text1"/>
        </w:rPr>
        <w:br/>
      </w:r>
    </w:p>
    <w:p w14:paraId="5C9D1087" w14:textId="71C4C702" w:rsidR="0008059F" w:rsidRPr="006339C5" w:rsidRDefault="0008059F" w:rsidP="00ED367A">
      <w:pPr>
        <w:ind w:left="720"/>
        <w:rPr>
          <w:color w:val="000000" w:themeColor="text1"/>
        </w:rPr>
      </w:pPr>
    </w:p>
    <w:sectPr w:rsidR="0008059F" w:rsidRPr="00633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83D30"/>
    <w:multiLevelType w:val="hybridMultilevel"/>
    <w:tmpl w:val="1176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2840FC"/>
    <w:multiLevelType w:val="hybridMultilevel"/>
    <w:tmpl w:val="9AA2A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38F"/>
    <w:rsid w:val="000548D5"/>
    <w:rsid w:val="0008059F"/>
    <w:rsid w:val="000A0C40"/>
    <w:rsid w:val="0011244D"/>
    <w:rsid w:val="001260FB"/>
    <w:rsid w:val="0014077F"/>
    <w:rsid w:val="00167FA5"/>
    <w:rsid w:val="001F6AB5"/>
    <w:rsid w:val="001F7D4D"/>
    <w:rsid w:val="002025C4"/>
    <w:rsid w:val="00202E57"/>
    <w:rsid w:val="002373DB"/>
    <w:rsid w:val="00257B63"/>
    <w:rsid w:val="002E6E91"/>
    <w:rsid w:val="002F4814"/>
    <w:rsid w:val="00366B90"/>
    <w:rsid w:val="00376A21"/>
    <w:rsid w:val="003938D9"/>
    <w:rsid w:val="00417CFB"/>
    <w:rsid w:val="00440C5A"/>
    <w:rsid w:val="004B2C4F"/>
    <w:rsid w:val="004D0280"/>
    <w:rsid w:val="00514296"/>
    <w:rsid w:val="00517734"/>
    <w:rsid w:val="00535A46"/>
    <w:rsid w:val="005756DB"/>
    <w:rsid w:val="005958B8"/>
    <w:rsid w:val="00605EAD"/>
    <w:rsid w:val="006339C5"/>
    <w:rsid w:val="00653F74"/>
    <w:rsid w:val="0066338F"/>
    <w:rsid w:val="0069150D"/>
    <w:rsid w:val="006A6E4D"/>
    <w:rsid w:val="007253BA"/>
    <w:rsid w:val="00763295"/>
    <w:rsid w:val="007A5E77"/>
    <w:rsid w:val="007B22A2"/>
    <w:rsid w:val="00800273"/>
    <w:rsid w:val="00825829"/>
    <w:rsid w:val="00857D0C"/>
    <w:rsid w:val="00875344"/>
    <w:rsid w:val="008A135E"/>
    <w:rsid w:val="008C0858"/>
    <w:rsid w:val="008C5E2A"/>
    <w:rsid w:val="008C650B"/>
    <w:rsid w:val="00951990"/>
    <w:rsid w:val="009955BB"/>
    <w:rsid w:val="009E0376"/>
    <w:rsid w:val="00A34821"/>
    <w:rsid w:val="00A53083"/>
    <w:rsid w:val="00A778DB"/>
    <w:rsid w:val="00AD0211"/>
    <w:rsid w:val="00AD5DE1"/>
    <w:rsid w:val="00AE2445"/>
    <w:rsid w:val="00B17331"/>
    <w:rsid w:val="00B5797F"/>
    <w:rsid w:val="00C0287A"/>
    <w:rsid w:val="00C34C96"/>
    <w:rsid w:val="00C4217C"/>
    <w:rsid w:val="00C73022"/>
    <w:rsid w:val="00C816ED"/>
    <w:rsid w:val="00CD5434"/>
    <w:rsid w:val="00D54E0D"/>
    <w:rsid w:val="00D75E55"/>
    <w:rsid w:val="00D92B8F"/>
    <w:rsid w:val="00DC3886"/>
    <w:rsid w:val="00DE499B"/>
    <w:rsid w:val="00E302DA"/>
    <w:rsid w:val="00E54AB2"/>
    <w:rsid w:val="00ED2AF8"/>
    <w:rsid w:val="00ED2B20"/>
    <w:rsid w:val="00ED367A"/>
    <w:rsid w:val="00EF2022"/>
    <w:rsid w:val="00F71378"/>
    <w:rsid w:val="00FA6CCC"/>
    <w:rsid w:val="00FC4E10"/>
    <w:rsid w:val="00FD1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9A258"/>
  <w15:chartTrackingRefBased/>
  <w15:docId w15:val="{8CA695C4-D0A9-444F-9E54-5D8B3A80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E7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E91"/>
    <w:pPr>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08059F"/>
    <w:rPr>
      <w:color w:val="0000FF"/>
      <w:u w:val="single"/>
    </w:rPr>
  </w:style>
  <w:style w:type="paragraph" w:styleId="NormalWeb">
    <w:name w:val="Normal (Web)"/>
    <w:basedOn w:val="Normal"/>
    <w:uiPriority w:val="99"/>
    <w:unhideWhenUsed/>
    <w:rsid w:val="004B2C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37647">
      <w:bodyDiv w:val="1"/>
      <w:marLeft w:val="0"/>
      <w:marRight w:val="0"/>
      <w:marTop w:val="0"/>
      <w:marBottom w:val="0"/>
      <w:divBdr>
        <w:top w:val="none" w:sz="0" w:space="0" w:color="auto"/>
        <w:left w:val="none" w:sz="0" w:space="0" w:color="auto"/>
        <w:bottom w:val="none" w:sz="0" w:space="0" w:color="auto"/>
        <w:right w:val="none" w:sz="0" w:space="0" w:color="auto"/>
      </w:divBdr>
    </w:div>
    <w:div w:id="117918396">
      <w:bodyDiv w:val="1"/>
      <w:marLeft w:val="0"/>
      <w:marRight w:val="0"/>
      <w:marTop w:val="0"/>
      <w:marBottom w:val="0"/>
      <w:divBdr>
        <w:top w:val="none" w:sz="0" w:space="0" w:color="auto"/>
        <w:left w:val="none" w:sz="0" w:space="0" w:color="auto"/>
        <w:bottom w:val="none" w:sz="0" w:space="0" w:color="auto"/>
        <w:right w:val="none" w:sz="0" w:space="0" w:color="auto"/>
      </w:divBdr>
    </w:div>
    <w:div w:id="298651676">
      <w:bodyDiv w:val="1"/>
      <w:marLeft w:val="0"/>
      <w:marRight w:val="0"/>
      <w:marTop w:val="0"/>
      <w:marBottom w:val="0"/>
      <w:divBdr>
        <w:top w:val="none" w:sz="0" w:space="0" w:color="auto"/>
        <w:left w:val="none" w:sz="0" w:space="0" w:color="auto"/>
        <w:bottom w:val="none" w:sz="0" w:space="0" w:color="auto"/>
        <w:right w:val="none" w:sz="0" w:space="0" w:color="auto"/>
      </w:divBdr>
      <w:divsChild>
        <w:div w:id="1256331239">
          <w:marLeft w:val="0"/>
          <w:marRight w:val="0"/>
          <w:marTop w:val="0"/>
          <w:marBottom w:val="0"/>
          <w:divBdr>
            <w:top w:val="none" w:sz="0" w:space="0" w:color="auto"/>
            <w:left w:val="none" w:sz="0" w:space="0" w:color="auto"/>
            <w:bottom w:val="none" w:sz="0" w:space="0" w:color="auto"/>
            <w:right w:val="none" w:sz="0" w:space="0" w:color="auto"/>
          </w:divBdr>
        </w:div>
      </w:divsChild>
    </w:div>
    <w:div w:id="528877747">
      <w:bodyDiv w:val="1"/>
      <w:marLeft w:val="0"/>
      <w:marRight w:val="0"/>
      <w:marTop w:val="0"/>
      <w:marBottom w:val="0"/>
      <w:divBdr>
        <w:top w:val="none" w:sz="0" w:space="0" w:color="auto"/>
        <w:left w:val="none" w:sz="0" w:space="0" w:color="auto"/>
        <w:bottom w:val="none" w:sz="0" w:space="0" w:color="auto"/>
        <w:right w:val="none" w:sz="0" w:space="0" w:color="auto"/>
      </w:divBdr>
    </w:div>
    <w:div w:id="657345346">
      <w:bodyDiv w:val="1"/>
      <w:marLeft w:val="0"/>
      <w:marRight w:val="0"/>
      <w:marTop w:val="0"/>
      <w:marBottom w:val="0"/>
      <w:divBdr>
        <w:top w:val="none" w:sz="0" w:space="0" w:color="auto"/>
        <w:left w:val="none" w:sz="0" w:space="0" w:color="auto"/>
        <w:bottom w:val="none" w:sz="0" w:space="0" w:color="auto"/>
        <w:right w:val="none" w:sz="0" w:space="0" w:color="auto"/>
      </w:divBdr>
    </w:div>
    <w:div w:id="684865953">
      <w:bodyDiv w:val="1"/>
      <w:marLeft w:val="0"/>
      <w:marRight w:val="0"/>
      <w:marTop w:val="0"/>
      <w:marBottom w:val="0"/>
      <w:divBdr>
        <w:top w:val="none" w:sz="0" w:space="0" w:color="auto"/>
        <w:left w:val="none" w:sz="0" w:space="0" w:color="auto"/>
        <w:bottom w:val="none" w:sz="0" w:space="0" w:color="auto"/>
        <w:right w:val="none" w:sz="0" w:space="0" w:color="auto"/>
      </w:divBdr>
    </w:div>
    <w:div w:id="690111875">
      <w:bodyDiv w:val="1"/>
      <w:marLeft w:val="0"/>
      <w:marRight w:val="0"/>
      <w:marTop w:val="0"/>
      <w:marBottom w:val="0"/>
      <w:divBdr>
        <w:top w:val="none" w:sz="0" w:space="0" w:color="auto"/>
        <w:left w:val="none" w:sz="0" w:space="0" w:color="auto"/>
        <w:bottom w:val="none" w:sz="0" w:space="0" w:color="auto"/>
        <w:right w:val="none" w:sz="0" w:space="0" w:color="auto"/>
      </w:divBdr>
    </w:div>
    <w:div w:id="1081372478">
      <w:bodyDiv w:val="1"/>
      <w:marLeft w:val="0"/>
      <w:marRight w:val="0"/>
      <w:marTop w:val="0"/>
      <w:marBottom w:val="0"/>
      <w:divBdr>
        <w:top w:val="none" w:sz="0" w:space="0" w:color="auto"/>
        <w:left w:val="none" w:sz="0" w:space="0" w:color="auto"/>
        <w:bottom w:val="none" w:sz="0" w:space="0" w:color="auto"/>
        <w:right w:val="none" w:sz="0" w:space="0" w:color="auto"/>
      </w:divBdr>
    </w:div>
    <w:div w:id="1159426287">
      <w:bodyDiv w:val="1"/>
      <w:marLeft w:val="0"/>
      <w:marRight w:val="0"/>
      <w:marTop w:val="0"/>
      <w:marBottom w:val="0"/>
      <w:divBdr>
        <w:top w:val="none" w:sz="0" w:space="0" w:color="auto"/>
        <w:left w:val="none" w:sz="0" w:space="0" w:color="auto"/>
        <w:bottom w:val="none" w:sz="0" w:space="0" w:color="auto"/>
        <w:right w:val="none" w:sz="0" w:space="0" w:color="auto"/>
      </w:divBdr>
    </w:div>
    <w:div w:id="1195465789">
      <w:bodyDiv w:val="1"/>
      <w:marLeft w:val="0"/>
      <w:marRight w:val="0"/>
      <w:marTop w:val="0"/>
      <w:marBottom w:val="0"/>
      <w:divBdr>
        <w:top w:val="none" w:sz="0" w:space="0" w:color="auto"/>
        <w:left w:val="none" w:sz="0" w:space="0" w:color="auto"/>
        <w:bottom w:val="none" w:sz="0" w:space="0" w:color="auto"/>
        <w:right w:val="none" w:sz="0" w:space="0" w:color="auto"/>
      </w:divBdr>
      <w:divsChild>
        <w:div w:id="667245801">
          <w:marLeft w:val="0"/>
          <w:marRight w:val="0"/>
          <w:marTop w:val="0"/>
          <w:marBottom w:val="0"/>
          <w:divBdr>
            <w:top w:val="none" w:sz="0" w:space="0" w:color="auto"/>
            <w:left w:val="none" w:sz="0" w:space="0" w:color="auto"/>
            <w:bottom w:val="none" w:sz="0" w:space="0" w:color="auto"/>
            <w:right w:val="none" w:sz="0" w:space="0" w:color="auto"/>
          </w:divBdr>
        </w:div>
      </w:divsChild>
    </w:div>
    <w:div w:id="1289775282">
      <w:bodyDiv w:val="1"/>
      <w:marLeft w:val="0"/>
      <w:marRight w:val="0"/>
      <w:marTop w:val="0"/>
      <w:marBottom w:val="0"/>
      <w:divBdr>
        <w:top w:val="none" w:sz="0" w:space="0" w:color="auto"/>
        <w:left w:val="none" w:sz="0" w:space="0" w:color="auto"/>
        <w:bottom w:val="none" w:sz="0" w:space="0" w:color="auto"/>
        <w:right w:val="none" w:sz="0" w:space="0" w:color="auto"/>
      </w:divBdr>
    </w:div>
    <w:div w:id="1754164839">
      <w:bodyDiv w:val="1"/>
      <w:marLeft w:val="0"/>
      <w:marRight w:val="0"/>
      <w:marTop w:val="0"/>
      <w:marBottom w:val="0"/>
      <w:divBdr>
        <w:top w:val="none" w:sz="0" w:space="0" w:color="auto"/>
        <w:left w:val="none" w:sz="0" w:space="0" w:color="auto"/>
        <w:bottom w:val="none" w:sz="0" w:space="0" w:color="auto"/>
        <w:right w:val="none" w:sz="0" w:space="0" w:color="auto"/>
      </w:divBdr>
    </w:div>
    <w:div w:id="1926112469">
      <w:bodyDiv w:val="1"/>
      <w:marLeft w:val="0"/>
      <w:marRight w:val="0"/>
      <w:marTop w:val="0"/>
      <w:marBottom w:val="0"/>
      <w:divBdr>
        <w:top w:val="none" w:sz="0" w:space="0" w:color="auto"/>
        <w:left w:val="none" w:sz="0" w:space="0" w:color="auto"/>
        <w:bottom w:val="none" w:sz="0" w:space="0" w:color="auto"/>
        <w:right w:val="none" w:sz="0" w:space="0" w:color="auto"/>
      </w:divBdr>
    </w:div>
    <w:div w:id="197921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3CC7D-0677-4884-BD4D-04ADFE5DB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Sigona-Simpson, Lisa A</dc:creator>
  <cp:keywords/>
  <dc:description/>
  <cp:lastModifiedBy>KARIN Tumanyan</cp:lastModifiedBy>
  <cp:revision>2</cp:revision>
  <dcterms:created xsi:type="dcterms:W3CDTF">2021-05-26T19:52:00Z</dcterms:created>
  <dcterms:modified xsi:type="dcterms:W3CDTF">2021-05-26T19:52:00Z</dcterms:modified>
</cp:coreProperties>
</file>